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360"/>
      </w:tblGrid>
      <w:tr w:rsidR="006D2788" w:rsidRPr="006D2788" w:rsidTr="00A265FA">
        <w:tc>
          <w:tcPr>
            <w:tcW w:w="936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FFFFFF"/>
          </w:tcPr>
          <w:p w:rsidR="006D2788" w:rsidRPr="006D2788" w:rsidRDefault="006D2788" w:rsidP="006D2788">
            <w:pPr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6D2788">
              <w:rPr>
                <w:rFonts w:eastAsia="Times New Roman"/>
                <w:b/>
                <w:color w:val="000000"/>
                <w:sz w:val="28"/>
                <w:szCs w:val="20"/>
                <w:lang w:val="en-US"/>
              </w:rPr>
              <w:t>RPT  #6 (ELRPT)     SMART Goals for 2022-23</w:t>
            </w:r>
          </w:p>
        </w:tc>
      </w:tr>
    </w:tbl>
    <w:p w:rsidR="006D2788" w:rsidRPr="006D2788" w:rsidRDefault="006D2788" w:rsidP="006D2788">
      <w:pPr>
        <w:spacing w:after="0" w:line="240" w:lineRule="auto"/>
        <w:contextualSpacing/>
        <w:rPr>
          <w:rFonts w:eastAsia="Calibri"/>
          <w:szCs w:val="20"/>
          <w:lang w:val="en-US"/>
        </w:rPr>
      </w:pPr>
      <w:r w:rsidRPr="006D2788">
        <w:rPr>
          <w:rFonts w:eastAsia="Calibri"/>
          <w:szCs w:val="20"/>
          <w:lang w:val="en-US"/>
        </w:rPr>
        <w:t>Please email this completed page to David Armstrong (</w:t>
      </w:r>
      <w:hyperlink r:id="rId7" w:history="1">
        <w:r w:rsidRPr="006D2788">
          <w:rPr>
            <w:rFonts w:eastAsia="Calibri"/>
            <w:color w:val="0563C1"/>
            <w:szCs w:val="20"/>
            <w:u w:val="single"/>
            <w:lang w:val="en-US"/>
          </w:rPr>
          <w:t>davidarmstrong@ontariodirectors.ca</w:t>
        </w:r>
      </w:hyperlink>
      <w:r w:rsidRPr="006D2788">
        <w:rPr>
          <w:rFonts w:eastAsia="Calibri"/>
          <w:szCs w:val="20"/>
          <w:lang w:val="en-US"/>
        </w:rPr>
        <w:t>) no later than November 30, 2022.</w:t>
      </w:r>
    </w:p>
    <w:tbl>
      <w:tblPr>
        <w:tblW w:w="10500" w:type="dxa"/>
        <w:tblInd w:w="-14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38"/>
      </w:tblGrid>
      <w:tr w:rsidR="006D2788" w:rsidRPr="006D2788" w:rsidTr="00A265FA">
        <w:trPr>
          <w:trHeight w:val="285"/>
        </w:trPr>
        <w:tc>
          <w:tcPr>
            <w:tcW w:w="4702" w:type="dxa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hideMark/>
          </w:tcPr>
          <w:p w:rsidR="006D2788" w:rsidRPr="006D2788" w:rsidRDefault="006D2788" w:rsidP="006D278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 w:eastAsia="en-CA"/>
              </w:rPr>
            </w:pPr>
          </w:p>
          <w:p w:rsidR="006D2788" w:rsidRPr="006D2788" w:rsidRDefault="006D2788" w:rsidP="006D278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en-CA"/>
              </w:rPr>
            </w:pPr>
            <w:r w:rsidRPr="006D2788">
              <w:rPr>
                <w:rFonts w:ascii="Arial Narrow" w:eastAsia="Times New Roman" w:hAnsi="Arial Narrow"/>
                <w:color w:val="000000"/>
                <w:sz w:val="22"/>
                <w:szCs w:val="20"/>
                <w:lang w:val="en-US" w:eastAsia="en-CA"/>
              </w:rPr>
              <w:t>SMART Goals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hideMark/>
          </w:tcPr>
          <w:p w:rsidR="006D2788" w:rsidRPr="006D2788" w:rsidRDefault="006D2788" w:rsidP="006D278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 w:eastAsia="en-CA"/>
              </w:rPr>
            </w:pPr>
          </w:p>
          <w:p w:rsidR="006D2788" w:rsidRPr="006D2788" w:rsidRDefault="006D2788" w:rsidP="006D278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en-CA"/>
              </w:rPr>
            </w:pPr>
            <w:r w:rsidRPr="006D2788">
              <w:rPr>
                <w:rFonts w:ascii="Arial Narrow" w:eastAsia="Times New Roman" w:hAnsi="Arial Narrow"/>
                <w:color w:val="000000"/>
                <w:sz w:val="22"/>
                <w:szCs w:val="20"/>
                <w:lang w:val="en-US" w:eastAsia="en-CA"/>
              </w:rPr>
              <w:t>Strategies to Achieve Goals</w:t>
            </w:r>
          </w:p>
        </w:tc>
      </w:tr>
      <w:tr w:rsidR="006D2788" w:rsidRPr="000879FB" w:rsidTr="00A265FA">
        <w:trPr>
          <w:trHeight w:val="2757"/>
        </w:trPr>
        <w:tc>
          <w:tcPr>
            <w:tcW w:w="4962" w:type="dxa"/>
            <w:tcBorders>
              <w:top w:val="single" w:sz="24" w:space="0" w:color="4472C4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</w:tcPr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u w:val="single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/>
              </w:rPr>
              <w:t>Dual Credit Surveys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-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ab/>
              <w:t xml:space="preserve">In 2021-2022, we came up with a 10-question base for dual credit exit surveys to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be used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by the end of the year (concentrating on team-taught dual credits). Results were in September 2022 for those boards who used it.  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-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ab/>
              <w:t xml:space="preserve">Board members indicated teachers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were stressed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at the end of the year and were reluctant to send it out along with data collection and end-of-year marking.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Also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some RPT members were leaving and being replaced with a new coordinator who may wish to phase this in differently.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-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ab/>
              <w:t>Also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, boards needed to filter the survey through appropriate channels at the SO level. 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This is an appropriate Smart Goal to build on for this current 2022-2023 year</w:t>
            </w:r>
          </w:p>
          <w:p w:rsidR="006D2788" w:rsidRPr="000879FB" w:rsidRDefault="006D2788" w:rsidP="006D27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5538" w:type="dxa"/>
            <w:tcBorders>
              <w:top w:val="single" w:sz="24" w:space="0" w:color="4472C4"/>
              <w:left w:val="single" w:sz="12" w:space="0" w:color="B4C6E7"/>
              <w:bottom w:val="single" w:sz="12" w:space="0" w:color="B4C6E7"/>
              <w:right w:val="nil"/>
            </w:tcBorders>
            <w:shd w:val="clear" w:color="auto" w:fill="auto"/>
            <w:noWrap/>
          </w:tcPr>
          <w:p w:rsidR="000879FB" w:rsidRPr="000879FB" w:rsidRDefault="006D2788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October and November 2022</w:t>
            </w:r>
          </w:p>
          <w:p w:rsidR="006D2788" w:rsidRPr="000879FB" w:rsidRDefault="000879FB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</w:t>
            </w:r>
            <w:r w:rsidR="006D2788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The</w:t>
            </w:r>
            <w:r w:rsidR="006D2788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RPT examined the survey, reviewed the questions and edited as needed.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-Boards are welcome to add their own questions to personalize the survey for their purposes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-Each Board will commit to delivering the survey at the end of the current semester 1 dual credit.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-Results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will be shared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and tweaks to the survey will be conducted in the second semester.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All parties agreed to use Microsoft Form and will use the form exactly as sent.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 We will add the name of the Board and the College in addition to the 9 questions. 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Stephen will send the official Microsoft link for all boards to use.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All boards will use this survey as is for Semester 1 dual credit students. 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To be reviewed for Semester 2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AC6FEC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Mar</w:t>
            </w:r>
            <w:r w:rsidR="000879FB"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ch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 xml:space="preserve"> 2023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:  </w:t>
            </w:r>
          </w:p>
          <w:p w:rsidR="006D2788" w:rsidRPr="000879FB" w:rsidRDefault="00AC6FEC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-  </w:t>
            </w:r>
            <w:r w:rsidR="006D2788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Dual Credit survey for Semester 2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</w:t>
            </w:r>
            <w:r w:rsidR="00AC6FEC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 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Our semester 1 dual credit survey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was examined and revised for use for Semester 2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.  Stephen to revise and will send out the new link.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AC6FEC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May 17 2023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:  </w:t>
            </w:r>
          </w:p>
          <w:p w:rsidR="006D2788" w:rsidRPr="000879FB" w:rsidRDefault="006D2788" w:rsidP="00AC6FEC">
            <w:pPr>
              <w:pStyle w:val="ListParagraph"/>
              <w:numPr>
                <w:ilvl w:val="0"/>
                <w:numId w:val="3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Stephen sent out the Semester 2 link to the dual credit survey:  </w:t>
            </w:r>
            <w:hyperlink r:id="rId8" w:history="1">
              <w:r w:rsidR="00AC6FEC" w:rsidRPr="000879FB">
                <w:rPr>
                  <w:rStyle w:val="Hyperlink"/>
                  <w:rFonts w:asciiTheme="majorHAnsi" w:eastAsia="Times New Roman" w:hAnsiTheme="majorHAnsi" w:cstheme="majorHAnsi"/>
                  <w:lang w:val="en-US" w:eastAsia="en-CA"/>
                </w:rPr>
                <w:t>https://forms.office.com/r/qM5W6ib008</w:t>
              </w:r>
            </w:hyperlink>
          </w:p>
          <w:p w:rsidR="00AC6FEC" w:rsidRPr="000879FB" w:rsidRDefault="00AC6FEC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AC6FEC" w:rsidRPr="000879FB" w:rsidRDefault="00AC6FEC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June 20 2023 feedback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:  </w:t>
            </w:r>
          </w:p>
          <w:p w:rsidR="00AC6FEC" w:rsidRPr="000879FB" w:rsidRDefault="00AC6FEC" w:rsidP="00AC6FEC">
            <w:pPr>
              <w:pStyle w:val="ListParagraph"/>
              <w:numPr>
                <w:ilvl w:val="0"/>
                <w:numId w:val="2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Surveys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have been sent out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by the school boards but not a lot of feedback to date.  We will have a better sense of this in September.</w:t>
            </w:r>
          </w:p>
          <w:p w:rsidR="00AC6FEC" w:rsidRPr="000879FB" w:rsidRDefault="00AC6FEC" w:rsidP="00AC6FEC">
            <w:pPr>
              <w:pStyle w:val="ListParagraph"/>
              <w:numPr>
                <w:ilvl w:val="0"/>
                <w:numId w:val="2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lastRenderedPageBreak/>
              <w:t xml:space="preserve">At our first meeting in September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2023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Stephen will present the results of the survey.  At that time we can determine whether the information is useful enough to warrant its’ continuation in 2023-2024.  That said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,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Alex shared some anecdotal comment from students that are stellar!  The information culled to date this year was useful in Symposium workshops that our RPT presented.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</w:tc>
      </w:tr>
      <w:tr w:rsidR="006D2788" w:rsidRPr="000879FB" w:rsidTr="00A265FA">
        <w:trPr>
          <w:trHeight w:val="3390"/>
        </w:trPr>
        <w:tc>
          <w:tcPr>
            <w:tcW w:w="4702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</w:tcPr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u w:val="single"/>
                <w:lang w:val="en-US"/>
              </w:rPr>
            </w:pPr>
            <w:bookmarkStart w:id="0" w:name="_GoBack"/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/>
              </w:rPr>
              <w:lastRenderedPageBreak/>
              <w:t>Cultivating Relationships in the Trades Sector</w:t>
            </w:r>
          </w:p>
          <w:bookmarkEnd w:id="0"/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u w:val="single"/>
                <w:lang w:val="en-US"/>
              </w:rPr>
            </w:pPr>
          </w:p>
          <w:p w:rsidR="006D2788" w:rsidRPr="000879FB" w:rsidRDefault="006D2788" w:rsidP="006D27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Our goal is to build a bank of contacts and connections with business/community partners, </w:t>
            </w:r>
            <w:proofErr w:type="spell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Labour</w:t>
            </w:r>
            <w:proofErr w:type="spell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Relations, Workplace and Economic Development Boards and Tech teachers with the goal of working with one another, learning from one another and ensuring that programs like the dual credit program are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well-known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to industry.  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  <w:p w:rsidR="006D2788" w:rsidRPr="000879FB" w:rsidRDefault="006D2788" w:rsidP="006D27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The foundation of this smart goal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was initiated in 2021-2022 but proved difficult to implement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.  Board leads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were being sent out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as supply teachers and many boards could not commit to providing supply teacher for teachers who would likely attend.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  <w:p w:rsidR="006D2788" w:rsidRPr="000879FB" w:rsidRDefault="006D2788" w:rsidP="006D27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This is a second and worthy goal to pursue for this current year.</w:t>
            </w:r>
          </w:p>
          <w:p w:rsidR="006D2788" w:rsidRPr="000879FB" w:rsidRDefault="006D2788" w:rsidP="006D2788">
            <w:pPr>
              <w:spacing w:after="0" w:line="240" w:lineRule="auto"/>
              <w:ind w:left="360"/>
              <w:contextualSpacing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5538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nil"/>
            </w:tcBorders>
            <w:shd w:val="clear" w:color="auto" w:fill="auto"/>
            <w:noWrap/>
          </w:tcPr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-Find out where developers are meeting (Manufacturing, Construction associations…) and go to where they are.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-Develop a “roadshow” where RPT members could go around to the various associations to make a presentation on dual credits, OYAP, pathways…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-Build connections and relationships before holding any particular event.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0879FB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 xml:space="preserve">Nov 22, </w:t>
            </w:r>
            <w:r w:rsidR="000879FB"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2023</w:t>
            </w:r>
          </w:p>
          <w:p w:rsidR="006D2788" w:rsidRPr="000879FB" w:rsidRDefault="000879FB" w:rsidP="000879FB">
            <w:pPr>
              <w:pStyle w:val="ListParagraph"/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M</w:t>
            </w:r>
            <w:r w:rsidR="006D2788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ost boards are unable to pull teachers to participate in day events. </w:t>
            </w:r>
          </w:p>
          <w:p w:rsidR="006D2788" w:rsidRPr="000879FB" w:rsidRDefault="006D2788" w:rsidP="006D2788">
            <w:pPr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Given the supply teacher situation, smaller local evening events may work to develop these partnerships. Funds may need to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be requested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. Boards/Unions will need to verify if this could work.</w:t>
            </w:r>
          </w:p>
          <w:p w:rsidR="006D2788" w:rsidRPr="000879FB" w:rsidRDefault="006D2788" w:rsidP="006D2788">
            <w:pPr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Day events at local industries that can involve guidance and co-op teachers are possible. </w:t>
            </w:r>
          </w:p>
          <w:p w:rsidR="006D2788" w:rsidRDefault="006D2788" w:rsidP="006D2788">
            <w:pPr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PA Days may be a venue to host an event.</w:t>
            </w:r>
          </w:p>
          <w:p w:rsidR="000879FB" w:rsidRPr="000879FB" w:rsidRDefault="000879FB" w:rsidP="000879FB">
            <w:pPr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By June of 2023, we will have established relationships with a minimum of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3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industry partners and we will continue to work on establishing connections that we will foster in the years to come.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0879FB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March 18 2023:</w:t>
            </w: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 Alex has made many personal PVNC/Industry connections where information about HS initiatives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have been presented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. Other boards and colleges have done likewise. ELRPT will compile a document of these connections and a shared Google document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will be created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. Alex and Stephen will look at creating this.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0879FB" w:rsidRPr="000879FB" w:rsidRDefault="006D2788" w:rsidP="006D27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u w:val="single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u w:val="single"/>
                <w:lang w:val="en-US"/>
              </w:rPr>
              <w:t xml:space="preserve">April 18 2023:  </w:t>
            </w:r>
          </w:p>
          <w:p w:rsidR="006D2788" w:rsidRPr="000879FB" w:rsidRDefault="006D2788" w:rsidP="000879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lang w:val="en-US"/>
              </w:rPr>
              <w:t>Update from Stephen/Alex.  Alex has provided a (shared) start-up document outlining contacts and events that develop trade relationships in the community</w:t>
            </w:r>
            <w:r w:rsidRPr="000879FB">
              <w:rPr>
                <w:rFonts w:asciiTheme="majorHAnsi" w:eastAsia="Times New Roman" w:hAnsiTheme="majorHAnsi" w:cstheme="majorHAnsi"/>
                <w:color w:val="FF0000"/>
                <w:lang w:val="en-US"/>
              </w:rPr>
              <w:t xml:space="preserve">. </w:t>
            </w:r>
            <w:r w:rsidRPr="000879FB">
              <w:rPr>
                <w:rFonts w:asciiTheme="majorHAnsi" w:eastAsia="Times New Roman" w:hAnsiTheme="majorHAnsi" w:cstheme="majorHAnsi"/>
                <w:lang w:val="en-US"/>
              </w:rPr>
              <w:t>The document can be found at</w:t>
            </w:r>
            <w:r w:rsidRPr="000879FB">
              <w:rPr>
                <w:rFonts w:asciiTheme="majorHAnsi" w:eastAsia="Times New Roman" w:hAnsiTheme="majorHAnsi" w:cstheme="majorHAnsi"/>
                <w:color w:val="FF0000"/>
                <w:lang w:val="en-US"/>
              </w:rPr>
              <w:t xml:space="preserve"> </w:t>
            </w:r>
            <w:hyperlink r:id="rId9" w:history="1">
              <w:r w:rsidRPr="000879FB">
                <w:rPr>
                  <w:rFonts w:asciiTheme="majorHAnsi" w:eastAsia="Times New Roman" w:hAnsiTheme="majorHAnsi" w:cstheme="majorHAnsi"/>
                  <w:color w:val="0563C1"/>
                  <w:u w:val="single"/>
                  <w:lang w:val="en-US"/>
                </w:rPr>
                <w:t>https://docs.google.com/document/d/1_ANWtT8IjGuZtFOilXec4dMRizjANbJMjvoUg6KUFOI/edit</w:t>
              </w:r>
            </w:hyperlink>
          </w:p>
          <w:p w:rsidR="006D2788" w:rsidRPr="000879FB" w:rsidRDefault="006D2788" w:rsidP="000879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879FB">
              <w:rPr>
                <w:rFonts w:asciiTheme="majorHAnsi" w:eastAsia="Times New Roman" w:hAnsiTheme="majorHAnsi" w:cstheme="majorHAnsi"/>
                <w:lang w:val="en-US"/>
              </w:rPr>
              <w:t>There is space on the document for school boards and colleges to include outlining contacts they have established and events they have run or will be running.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AC6FEC" w:rsidRPr="000879FB" w:rsidRDefault="00AC6FEC" w:rsidP="00AC6FEC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u w:val="single"/>
                <w:lang w:val="en-US" w:eastAsia="en-CA"/>
              </w:rPr>
              <w:t>June 20 2023 feedback:</w:t>
            </w:r>
          </w:p>
          <w:p w:rsidR="00AC6FEC" w:rsidRPr="000879FB" w:rsidRDefault="00AC6FEC" w:rsidP="00AC6FEC">
            <w:pPr>
              <w:pStyle w:val="ListParagraph"/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Originally, the idea was to bring skilled trades people together for a symposium-type day to share knowledge and expertise. </w:t>
            </w:r>
          </w:p>
          <w:p w:rsidR="00AC6FEC" w:rsidRPr="000879FB" w:rsidRDefault="00AC6FEC" w:rsidP="00AC6FEC">
            <w:pPr>
              <w:pStyle w:val="ListParagraph"/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This proved difficult to execute.</w:t>
            </w:r>
          </w:p>
          <w:p w:rsidR="00AC6FEC" w:rsidRDefault="00AC6FEC" w:rsidP="00AC6FEC">
            <w:pPr>
              <w:pStyle w:val="ListParagraph"/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Instead, we compiled a document of contacts and events with </w:t>
            </w:r>
            <w:proofErr w:type="gramStart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trades</w:t>
            </w:r>
            <w:proofErr w:type="gramEnd"/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people to forge community connections.</w:t>
            </w:r>
            <w:r w:rsidR="000879FB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Boards and colleges can contribute to this </w:t>
            </w:r>
            <w:proofErr w:type="gramStart"/>
            <w:r w:rsidR="000879FB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document which</w:t>
            </w:r>
            <w:proofErr w:type="gramEnd"/>
            <w:r w:rsidR="000879FB"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is an ongoing live document.</w:t>
            </w:r>
          </w:p>
          <w:p w:rsidR="00FD1211" w:rsidRPr="000879FB" w:rsidRDefault="00FD1211" w:rsidP="00AC6FEC">
            <w:pPr>
              <w:pStyle w:val="ListParagraph"/>
              <w:numPr>
                <w:ilvl w:val="0"/>
                <w:numId w:val="1"/>
              </w:num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>Boards and colleges are encouraged to provide input by the end of this year, June 2023.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ind w:left="144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 xml:space="preserve"> </w:t>
            </w:r>
          </w:p>
          <w:p w:rsidR="006D2788" w:rsidRPr="000879FB" w:rsidRDefault="006D2788" w:rsidP="006D2788">
            <w:pPr>
              <w:tabs>
                <w:tab w:val="left" w:pos="10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</w:pPr>
            <w:r w:rsidRPr="000879FB">
              <w:rPr>
                <w:rFonts w:asciiTheme="majorHAnsi" w:eastAsia="Times New Roman" w:hAnsiTheme="majorHAnsi" w:cstheme="majorHAnsi"/>
                <w:color w:val="000000"/>
                <w:lang w:val="en-US" w:eastAsia="en-CA"/>
              </w:rPr>
              <w:tab/>
            </w:r>
          </w:p>
        </w:tc>
      </w:tr>
    </w:tbl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6D2788" w:rsidRPr="000879FB" w:rsidRDefault="006D2788" w:rsidP="006D278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en-US"/>
        </w:rPr>
      </w:pPr>
    </w:p>
    <w:p w:rsidR="00307FAB" w:rsidRPr="000879FB" w:rsidRDefault="00307FAB">
      <w:pPr>
        <w:rPr>
          <w:rFonts w:asciiTheme="majorHAnsi" w:hAnsiTheme="majorHAnsi" w:cstheme="majorHAnsi"/>
        </w:rPr>
      </w:pPr>
    </w:p>
    <w:sectPr w:rsidR="00307FAB" w:rsidRPr="000879FB" w:rsidSect="006D2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95" w:rsidRDefault="00014F95">
      <w:pPr>
        <w:spacing w:after="0" w:line="240" w:lineRule="auto"/>
      </w:pPr>
      <w:r>
        <w:separator/>
      </w:r>
    </w:p>
  </w:endnote>
  <w:endnote w:type="continuationSeparator" w:id="0">
    <w:p w:rsidR="00014F95" w:rsidRDefault="0001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014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6D2788">
    <w:pPr>
      <w:pStyle w:val="Footer"/>
    </w:pPr>
    <w:r>
      <w:t>[Type here]</w:t>
    </w:r>
  </w:p>
  <w:p w:rsidR="00D974F2" w:rsidRDefault="00014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014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95" w:rsidRDefault="00014F95">
      <w:pPr>
        <w:spacing w:after="0" w:line="240" w:lineRule="auto"/>
      </w:pPr>
      <w:r>
        <w:separator/>
      </w:r>
    </w:p>
  </w:footnote>
  <w:footnote w:type="continuationSeparator" w:id="0">
    <w:p w:rsidR="00014F95" w:rsidRDefault="0001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014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014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F2" w:rsidRDefault="0001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B41"/>
    <w:multiLevelType w:val="hybridMultilevel"/>
    <w:tmpl w:val="49EEC07C"/>
    <w:lvl w:ilvl="0" w:tplc="CC1CC7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5429"/>
    <w:multiLevelType w:val="hybridMultilevel"/>
    <w:tmpl w:val="C82AAE6C"/>
    <w:lvl w:ilvl="0" w:tplc="A35EEA4A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F67EC"/>
    <w:multiLevelType w:val="hybridMultilevel"/>
    <w:tmpl w:val="9BC2002E"/>
    <w:lvl w:ilvl="0" w:tplc="99ACD868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8"/>
    <w:rsid w:val="00014F95"/>
    <w:rsid w:val="000879FB"/>
    <w:rsid w:val="00307FAB"/>
    <w:rsid w:val="00591690"/>
    <w:rsid w:val="006D2788"/>
    <w:rsid w:val="00AC6FEC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E4C1"/>
  <w15:chartTrackingRefBased/>
  <w15:docId w15:val="{0C20501C-B24C-44E2-8682-D3B814C6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78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2788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78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2788"/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C6F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qM5W6ib0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vidarmstrong@ontariodirectors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ANWtT8IjGuZtFOilXec4dMRizjANbJMjvoUg6KUFOI/ed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3</cp:revision>
  <dcterms:created xsi:type="dcterms:W3CDTF">2023-06-15T17:07:00Z</dcterms:created>
  <dcterms:modified xsi:type="dcterms:W3CDTF">2023-06-20T16:27:00Z</dcterms:modified>
</cp:coreProperties>
</file>